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00" w:line="240" w:lineRule="auto"/>
        <w:ind w:left="0" w:right="25.076904296875" w:firstLine="0"/>
        <w:jc w:val="center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u w:val="single"/>
          <w:rtl w:val="0"/>
        </w:rPr>
        <w:t xml:space="preserve">Documento complementario de EFI</w:t>
      </w:r>
    </w:p>
    <w:p w:rsidR="00000000" w:rsidDel="00000000" w:rsidP="00000000" w:rsidRDefault="00000000" w:rsidRPr="00000000" w14:paraId="00000002">
      <w:pPr>
        <w:widowControl w:val="0"/>
        <w:spacing w:after="200" w:line="240" w:lineRule="auto"/>
        <w:ind w:left="0" w:right="25.076904296875" w:firstLine="0"/>
        <w:jc w:val="center"/>
        <w:rPr>
          <w:rFonts w:ascii="Open Sans" w:cs="Open Sans" w:eastAsia="Open Sans" w:hAnsi="Open Sans"/>
          <w:b w:val="1"/>
          <w:sz w:val="24"/>
          <w:szCs w:val="24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u w:val="single"/>
          <w:rtl w:val="0"/>
        </w:rPr>
        <w:t xml:space="preserve">Año 2025</w:t>
      </w:r>
    </w:p>
    <w:p w:rsidR="00000000" w:rsidDel="00000000" w:rsidP="00000000" w:rsidRDefault="00000000" w:rsidRPr="00000000" w14:paraId="00000003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-Nombre del EFI:</w:t>
      </w:r>
    </w:p>
    <w:p w:rsidR="00000000" w:rsidDel="00000000" w:rsidP="00000000" w:rsidRDefault="00000000" w:rsidRPr="00000000" w14:paraId="00000005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-En qué semestre/trimestre/período de tiempo del año planean desarrollar el EFI.</w:t>
      </w:r>
    </w:p>
    <w:p w:rsidR="00000000" w:rsidDel="00000000" w:rsidP="00000000" w:rsidRDefault="00000000" w:rsidRPr="00000000" w14:paraId="00000007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-La convocatoria está abierta para estudiantes de la/s siguiente/s carrera/s:</w:t>
      </w:r>
    </w:p>
    <w:p w:rsidR="00000000" w:rsidDel="00000000" w:rsidP="00000000" w:rsidRDefault="00000000" w:rsidRPr="00000000" w14:paraId="00000009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-¿Cómo se inscriben los/as estudiantes para participar? (por Bedelía, al mail de docentes, etc)</w:t>
      </w:r>
    </w:p>
    <w:p w:rsidR="00000000" w:rsidDel="00000000" w:rsidP="00000000" w:rsidRDefault="00000000" w:rsidRPr="00000000" w14:paraId="0000000C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-¿Otorga créditos en extensión? ¿Cuántos? </w:t>
      </w:r>
    </w:p>
    <w:p w:rsidR="00000000" w:rsidDel="00000000" w:rsidP="00000000" w:rsidRDefault="00000000" w:rsidRPr="00000000" w14:paraId="0000000F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-Si otorga créditos de extensión ¿ya están aprobados por la/s comisión/es de carrera/s correspondiente/s?</w:t>
      </w:r>
    </w:p>
    <w:p w:rsidR="00000000" w:rsidDel="00000000" w:rsidP="00000000" w:rsidRDefault="00000000" w:rsidRPr="00000000" w14:paraId="00000012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-¿Necesita que la UDEA solicite la aprobación de los créditos de extensión correspondientes a la/s comisión/es de carrera/s?</w:t>
      </w:r>
    </w:p>
    <w:p w:rsidR="00000000" w:rsidDel="00000000" w:rsidP="00000000" w:rsidRDefault="00000000" w:rsidRPr="00000000" w14:paraId="00000015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-Si necesitan recursos para gastos* deberán presentar detalle y justificación de los mismos, e indicar en qué período de tiempo necesitarán el dinero. Podrán solicitar hasta un máximo de $10.000 por EFI para gastos. Se contemplarán estos apoyos para los EFI que incluyan la función de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u w:val="single"/>
          <w:rtl w:val="0"/>
        </w:rPr>
        <w:t xml:space="preserve">extensión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(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Sujeto a posterior aprobación por parte de la UDEA. La aprobación puede ser del total del importe, de parte del importe o de ninguna parte del importe solicitado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). </w:t>
      </w:r>
    </w:p>
    <w:p w:rsidR="00000000" w:rsidDel="00000000" w:rsidP="00000000" w:rsidRDefault="00000000" w:rsidRPr="00000000" w14:paraId="00000018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-Si necesitan recursos para extensiones horarias a docentes deberán justificar la solicitud y detallar: nombre y apellido, grado y carga horaria. Se sugiere que sean hasta dos personas por EFI. Se contemplarán estos apoyos para los EFI que incluyan la función de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u w:val="single"/>
          <w:rtl w:val="0"/>
        </w:rPr>
        <w:t xml:space="preserve">extensión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 Los apoyos que no sean utilizados de acuerdo a la solicitud realizada implicarán no recibir apoyos en el período siguiente de esta convocatoria (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Sujeto a posterior aprobación por parte de la Comisión Cogobernada de extensión y del Consejo de Facultad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)**</w:t>
      </w:r>
    </w:p>
    <w:p w:rsidR="00000000" w:rsidDel="00000000" w:rsidP="00000000" w:rsidRDefault="00000000" w:rsidRPr="00000000" w14:paraId="0000001C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00" w:line="240" w:lineRule="auto"/>
        <w:ind w:right="25.076904296875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00" w:line="240" w:lineRule="auto"/>
        <w:ind w:right="25.076904296875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00" w:line="240" w:lineRule="auto"/>
        <w:ind w:right="25.076904296875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00" w:line="240" w:lineRule="auto"/>
        <w:ind w:right="25.076904296875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00" w:line="240" w:lineRule="auto"/>
        <w:ind w:right="25.076904296875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*Esta presentación no altera de ningún modo el procedimiento de solicitud de vales, ejecución y rendimiento en la sección gastos que deben hacer los equipos docentes.</w:t>
      </w:r>
    </w:p>
    <w:p w:rsidR="00000000" w:rsidDel="00000000" w:rsidP="00000000" w:rsidRDefault="00000000" w:rsidRPr="00000000" w14:paraId="00000022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** IMPORTANTE: Una vez que se aprueben los apoyos en sueldos, los contratos (es decir cuando no sean extensiones horarias) requieren que el/la docente responsable realice una solicitud que indique las características del contrato, el detalle de tareas que realizará la persona, en qué unidad académica realizará funciones y se debe adjuntar el CV de la persona a contratar (con dato de contacto). </w:t>
      </w:r>
    </w:p>
    <w:p w:rsidR="00000000" w:rsidDel="00000000" w:rsidP="00000000" w:rsidRDefault="00000000" w:rsidRPr="00000000" w14:paraId="00000024">
      <w:pPr>
        <w:widowControl w:val="0"/>
        <w:spacing w:after="200" w:line="240" w:lineRule="auto"/>
        <w:ind w:right="25.076904296875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00" w:line="240" w:lineRule="auto"/>
        <w:ind w:left="0" w:right="25.076904296875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